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Autonomize AI Acceleration Interview Reading Script</w:t>
      </w:r>
    </w:p>
    <w:p>
      <w:r>
        <w:rPr>
          <w:b/>
        </w:rPr>
        <w:t>Rehearsal target:</w:t>
      </w:r>
      <w:r>
        <w:t xml:space="preserve"> 24 to 26 minutes </w:t>
      </w:r>
      <w:r>
        <w:rPr>
          <w:b/>
        </w:rPr>
        <w:t>Operational buffer:</w:t>
      </w:r>
      <w:r>
        <w:t xml:space="preserve"> 4 to 6 minutes for slide transitions, browser setup, interruptions, and questions </w:t>
      </w:r>
      <w:r>
        <w:rPr>
          <w:b/>
        </w:rPr>
        <w:t>Q&amp;A target:</w:t>
      </w:r>
      <w:r>
        <w:t xml:space="preserve"> 10 to 15 minutes </w:t>
      </w:r>
      <w:r>
        <w:rPr>
          <w:b/>
        </w:rPr>
        <w:t>Presentation style:</w:t>
      </w:r>
      <w:r>
        <w:t xml:space="preserve"> Clear, direct, and calm </w:t>
      </w:r>
      <w:r>
        <w:rPr>
          <w:b/>
        </w:rPr>
        <w:t>Primary message:</w:t>
      </w:r>
      <w:r>
        <w:t xml:space="preserve"> Two working POCs prove one reusable healthcare AI platform </w:t>
      </w:r>
      <w:r>
        <w:rPr>
          <w:b/>
        </w:rPr>
        <w:t>Implementation statement:</w:t>
      </w:r>
      <w:r>
        <w:t xml:space="preserve"> The interview POCs locally implement and test workflow contracts, fixed controls, task structure, tool boundaries, and exception paths. They do not call an LLM or Amazon Bedrock. Production can use an approved model gateway without changing those contracts.</w:t>
      </w:r>
    </w:p>
    <w:p>
      <w:pPr>
        <w:pStyle w:val="Heading1"/>
      </w:pPr>
      <w:r>
        <w:t>Slide 1, Cover, 20 seconds</w:t>
      </w:r>
    </w:p>
    <w:p>
      <w:r>
        <w:rPr>
          <w:b/>
        </w:rPr>
        <w:t>Key message:</w:t>
      </w:r>
      <w:r>
        <w:t xml:space="preserve"> Set the scope and establish that the solution includes working software.</w:t>
      </w:r>
    </w:p>
    <w:p>
      <w:r>
        <w:rPr>
          <w:b/>
          <w:color w:val="0B7A68"/>
        </w:rPr>
        <w:t>Reading script:</w:t>
      </w:r>
    </w:p>
    <w:p>
      <w:r>
        <w:t>“Thank you for the opportunity to present this solution. I will show how two working POCs can support two important parts of a healthcare payer. The first POC helps match and route referrals. The second POC helps ingest and normalize claims. Both use one shared platform design. I will also show the production architecture, the security model, and the twelve-week plan.”</w:t>
      </w:r>
    </w:p>
    <w:p>
      <w:r>
        <w:rPr>
          <w:b/>
        </w:rPr>
        <w:t>Transition:</w:t>
      </w:r>
      <w:r>
        <w:t xml:space="preserve"> “I will start with the recommendation.”</w:t>
      </w:r>
    </w:p>
    <w:p>
      <w:pPr>
        <w:pStyle w:val="Heading1"/>
      </w:pPr>
      <w:r>
        <w:t>Slide 2, Start With Two Proven Workflows, 1 minute</w:t>
      </w:r>
    </w:p>
    <w:p>
      <w:r>
        <w:rPr>
          <w:b/>
        </w:rPr>
        <w:t>Key message:</w:t>
      </w:r>
      <w:r>
        <w:t xml:space="preserve"> UC2 and UC5 are the recommended POCs.</w:t>
      </w:r>
    </w:p>
    <w:p>
      <w:r>
        <w:rPr>
          <w:b/>
          <w:color w:val="0B7A68"/>
        </w:rPr>
        <w:t>Reading script:</w:t>
      </w:r>
    </w:p>
    <w:p>
      <w:r>
        <w:t>“My recommendation is to use two POCs. UC2 is Intelligent Referral Matching and Routing. It reads the referral, finds valid providers, applies payer rules, explains the result, and routes the referral. UC5 is Claims Ingestion and Normalization. It reads a synthetic 837P claim, checks the claim, creates a common claim record, and helps staff investigate exceptions.</w:t>
      </w:r>
    </w:p>
    <w:p>
      <w:r>
        <w:t>These two workflows give us a balanced story. UC2 supports care access. UC5 supports core payer operations. I selected UC2 for the detailed production plan because it uses the broadest set of shared platform parts.”</w:t>
      </w:r>
    </w:p>
    <w:p>
      <w:r>
        <w:rPr>
          <w:b/>
        </w:rPr>
        <w:t>Transition:</w:t>
      </w:r>
      <w:r>
        <w:t xml:space="preserve"> “The important point is that these are working POCs.”</w:t>
      </w:r>
    </w:p>
    <w:p>
      <w:pPr>
        <w:pStyle w:val="Heading1"/>
      </w:pPr>
      <w:r>
        <w:t>Slide 3, The POCs Are Working Today, 1 minute 5 seconds</w:t>
      </w:r>
    </w:p>
    <w:p>
      <w:r>
        <w:rPr>
          <w:b/>
        </w:rPr>
        <w:t>Key message:</w:t>
      </w:r>
      <w:r>
        <w:t xml:space="preserve"> The solution is based on implemented and tested behavior.</w:t>
      </w:r>
    </w:p>
    <w:p>
      <w:r>
        <w:rPr>
          <w:b/>
          <w:color w:val="0B7A68"/>
        </w:rPr>
        <w:t>Reading script:</w:t>
      </w:r>
    </w:p>
    <w:p>
      <w:r>
        <w:t>“The POCs are implemented in one FastAPI application. The package includes two workflow endpoints, synthetic referral and claims data, external task instructions, deterministic services, a claims runbook, typed outputs, and automated tests.</w:t>
      </w:r>
    </w:p>
    <w:p>
      <w:r>
        <w:t>Automated test execution passed all six tests. The task instructions are stored outside the runtime code. The claims explanation uses the approved runbook file. The POCs use local deterministic implementations. They test workflow contracts, fixed controls, task structure, tool boundaries, and exception paths without an LLM or Bedrock call.</w:t>
      </w:r>
    </w:p>
    <w:p>
      <w:r>
        <w:t>The architecture reflects behavior that can be shown and repeated. In production, an approved model gateway can replace the local implementation without changing the task or tool contracts.”</w:t>
      </w:r>
    </w:p>
    <w:p>
      <w:r>
        <w:rPr>
          <w:b/>
        </w:rPr>
        <w:t>Transition:</w:t>
      </w:r>
      <w:r>
        <w:t xml:space="preserve"> “Next, I will place the two POCs in the full five-use-case portfolio.”</w:t>
      </w:r>
    </w:p>
    <w:p>
      <w:pPr>
        <w:pStyle w:val="Heading1"/>
      </w:pPr>
      <w:r>
        <w:t>Slide 4, Five Use Cases Form Two Value Streams, 1 minute</w:t>
      </w:r>
    </w:p>
    <w:p>
      <w:r>
        <w:rPr>
          <w:b/>
        </w:rPr>
        <w:t>Key message:</w:t>
      </w:r>
      <w:r>
        <w:t xml:space="preserve"> The five use cases connect through two payer value streams.</w:t>
      </w:r>
    </w:p>
    <w:p>
      <w:r>
        <w:rPr>
          <w:b/>
          <w:color w:val="0B7A68"/>
        </w:rPr>
        <w:t>Reading script:</w:t>
      </w:r>
    </w:p>
    <w:p>
      <w:r>
        <w:t>“The five use cases form two clear value streams. The first stream is care access and navigation. It includes specialist network data, referral matching, scheduling, and procedure readiness. The second stream is core payer operations, represented by claims ingestion and normalization.</w:t>
      </w:r>
    </w:p>
    <w:p>
      <w:r>
        <w:t>This creates a useful platform story. We can start with two focused POCs. We can then reuse the same task, tool, data, knowledge, workflow, security, audit, and review patterns for the other use cases.</w:t>
      </w:r>
    </w:p>
    <w:p>
      <w:r>
        <w:t>The goal is to build reusable parts rather than five separate applications.”</w:t>
      </w:r>
    </w:p>
    <w:p>
      <w:r>
        <w:rPr>
          <w:b/>
        </w:rPr>
        <w:t>Transition:</w:t>
      </w:r>
      <w:r>
        <w:t xml:space="preserve"> “The scoring explains why UC2 and UC5 are the right starting points.”</w:t>
      </w:r>
    </w:p>
    <w:p>
      <w:pPr>
        <w:pStyle w:val="Heading1"/>
      </w:pPr>
      <w:r>
        <w:t>Slide 5, UC2 Has the Best Value-to-Lift Position, 1 minute 15 seconds</w:t>
      </w:r>
    </w:p>
    <w:p>
      <w:r>
        <w:rPr>
          <w:b/>
        </w:rPr>
        <w:t>Key message:</w:t>
      </w:r>
      <w:r>
        <w:t xml:space="preserve"> The selection is based on a clear scoring model.</w:t>
      </w:r>
    </w:p>
    <w:p>
      <w:r>
        <w:rPr>
          <w:b/>
          <w:color w:val="0B7A68"/>
        </w:rPr>
        <w:t>Reading script:</w:t>
      </w:r>
    </w:p>
    <w:p>
      <w:r>
        <w:t>“I scored every use case across business value, implementation lift, and portfolio leverage. Business value includes payer ownership, business impact, user experience, and strategic reuse. Lift includes integration, data, workflow, security, and production effort. A higher lift score means more work.</w:t>
      </w:r>
    </w:p>
    <w:p>
      <w:r>
        <w:t>UC2 has a value score of eighteen and a lift score of thirteen. It has the strongest value-to-lift result. UC5 also has a value score of eighteen. Its production lift is higher, but the focused synthetic POC is practical and easy to explain.</w:t>
      </w:r>
    </w:p>
    <w:p>
      <w:r>
        <w:t>UC3 remains a strong next workflow, but production value depends on provider scheduling access. UC4 is a strategic foundation, but it needs broad provider-data work. UC1 has useful value, but complete procedure readiness also depends on provider systems and provider operations.”</w:t>
      </w:r>
    </w:p>
    <w:p>
      <w:r>
        <w:rPr>
          <w:b/>
        </w:rPr>
        <w:t>Transition:</w:t>
      </w:r>
      <w:r>
        <w:t xml:space="preserve"> “The pair also gives us strong technical breadth.”</w:t>
      </w:r>
    </w:p>
    <w:p>
      <w:pPr>
        <w:pStyle w:val="Heading1"/>
      </w:pPr>
      <w:r>
        <w:t>Slide 6, The Two POCs Tell One Strong Story, 1 minute 10 seconds</w:t>
      </w:r>
    </w:p>
    <w:p>
      <w:r>
        <w:rPr>
          <w:b/>
        </w:rPr>
        <w:t>Key message:</w:t>
      </w:r>
      <w:r>
        <w:t xml:space="preserve"> The POCs are different, but they use the same platform.</w:t>
      </w:r>
    </w:p>
    <w:p>
      <w:r>
        <w:rPr>
          <w:b/>
          <w:color w:val="0B7A68"/>
        </w:rPr>
        <w:t>Reading script:</w:t>
      </w:r>
    </w:p>
    <w:p>
      <w:r>
        <w:t>“UC2 and UC5 show two different workflow patterns. UC2 understands a referral, searches for providers, filters invalid choices, ranks the valid choices, explains the result, and routes the case. UC5 normalizes a claim, investigates an exception, explains the likely cause, and routes the issue to the right team.</w:t>
      </w:r>
    </w:p>
    <w:p>
      <w:r>
        <w:t>Both workflows use shared task instructions, tool contracts, workflow state, audit, human review, security, and tests. This is the reuse story. The platform parts are common. The business tasks are configured for each use case.”</w:t>
      </w:r>
    </w:p>
    <w:p>
      <w:r>
        <w:rPr>
          <w:b/>
        </w:rPr>
        <w:t>Transition:</w:t>
      </w:r>
      <w:r>
        <w:t xml:space="preserve"> “These shared parts can be grouped into six common patterns.”</w:t>
      </w:r>
    </w:p>
    <w:p>
      <w:pPr>
        <w:pStyle w:val="Heading1"/>
      </w:pPr>
      <w:r>
        <w:t>Slide 7, Six Patterns Are Reused Across All Workflows, 1 minute</w:t>
      </w:r>
    </w:p>
    <w:p>
      <w:r>
        <w:rPr>
          <w:b/>
        </w:rPr>
        <w:t>Key message:</w:t>
      </w:r>
      <w:r>
        <w:t xml:space="preserve"> Six patterns provide the reusable foundation.</w:t>
      </w:r>
    </w:p>
    <w:p>
      <w:r>
        <w:rPr>
          <w:b/>
          <w:color w:val="0B7A68"/>
        </w:rPr>
        <w:t>Reading script:</w:t>
      </w:r>
    </w:p>
    <w:p>
      <w:r>
        <w:t>“The first pattern combines fixed rules with AI. Fixed rules control hard requirements. AI helps when the input is unclear.</w:t>
      </w:r>
    </w:p>
    <w:p>
      <w:r>
        <w:t>The second pattern extracts and normalizes data. It turns different formats into a common record.</w:t>
      </w:r>
    </w:p>
    <w:p>
      <w:r>
        <w:t>The third pattern uses enterprise tools to get trusted facts. The fourth pattern uses approved knowledge for clear explanations. The fifth pattern saves workflow state, errors, review, and final status. The sixth pattern shows evidence and sends important cases to a person.</w:t>
      </w:r>
    </w:p>
    <w:p>
      <w:r>
        <w:t>These six patterns appear in all five use cases, so each POC creates useful parts for later work.”</w:t>
      </w:r>
    </w:p>
    <w:p>
      <w:r>
        <w:rPr>
          <w:b/>
        </w:rPr>
        <w:t>Transition:</w:t>
      </w:r>
      <w:r>
        <w:t xml:space="preserve"> “The next slide shows the main control rule.”</w:t>
      </w:r>
    </w:p>
    <w:p>
      <w:pPr>
        <w:pStyle w:val="Heading1"/>
      </w:pPr>
      <w:r>
        <w:t>Slide 8, Keep Trusted Facts Outside the Model, 1 minute</w:t>
      </w:r>
    </w:p>
    <w:p>
      <w:r>
        <w:rPr>
          <w:b/>
        </w:rPr>
        <w:t>Key message:</w:t>
      </w:r>
      <w:r>
        <w:t xml:space="preserve"> AI supports the work, while trusted systems and people keep control.</w:t>
      </w:r>
    </w:p>
    <w:p>
      <w:r>
        <w:rPr>
          <w:b/>
          <w:color w:val="0B7A68"/>
        </w:rPr>
        <w:t>Reading script:</w:t>
      </w:r>
    </w:p>
    <w:p>
      <w:r>
        <w:t>“The architecture gives AI a clear role. AI can read unclear text, explain results, help investigate exceptions, and choose from approved tools.</w:t>
      </w:r>
    </w:p>
    <w:p>
      <w:r>
        <w:t>Fixed services provide trusted facts, enforce hard rules, validate transactions, and save workflow state. People review important exceptions, approve material changes, and own final operations.</w:t>
      </w:r>
    </w:p>
    <w:p>
      <w:r>
        <w:t>This separation reduces risk. The model does not invent network status. It does not validate X12 syntax. It does not decide whether a claim should be paid. It supports a controlled business workflow.”</w:t>
      </w:r>
    </w:p>
    <w:p>
      <w:r>
        <w:rPr>
          <w:b/>
        </w:rPr>
        <w:t>Transition:</w:t>
      </w:r>
      <w:r>
        <w:t xml:space="preserve"> “Now I will show how those parts fit into one platform.”</w:t>
      </w:r>
    </w:p>
    <w:p>
      <w:pPr>
        <w:pStyle w:val="Heading1"/>
      </w:pPr>
      <w:r>
        <w:t>Slide 9, One Shared Platform Supports Every Use Case, 1 minute 20 seconds</w:t>
      </w:r>
    </w:p>
    <w:p>
      <w:r>
        <w:rPr>
          <w:b/>
        </w:rPr>
        <w:t>Key message:</w:t>
      </w:r>
      <w:r>
        <w:t xml:space="preserve"> Explain the full logical architecture from top to bottom.</w:t>
      </w:r>
    </w:p>
    <w:p>
      <w:r>
        <w:rPr>
          <w:b/>
          <w:color w:val="0B7A68"/>
        </w:rPr>
        <w:t>Reading script:</w:t>
      </w:r>
    </w:p>
    <w:p>
      <w:r>
        <w:t>“The platform receives requests from members, staff, documents, claims, and enterprise APIs. The access layer checks identity, consent, permission, request format, and traffic limits.</w:t>
      </w:r>
    </w:p>
    <w:p>
      <w:r>
        <w:t>The shared platform provides task instructions, workflow state, approved tools, knowledge, fixed rules, human review, and audit. The connector layer links those services to FHIR, payer systems, provider data, scheduling, claims, EDI, logs, and work queues.</w:t>
      </w:r>
    </w:p>
    <w:p>
      <w:r>
        <w:t>Security, monitoring, governance, and recovery apply to every layer. The design stays stable even if the client changes a model, workflow framework, or cloud service.”</w:t>
      </w:r>
    </w:p>
    <w:p>
      <w:r>
        <w:rPr>
          <w:b/>
        </w:rPr>
        <w:t>Cut first if time is short:</w:t>
      </w:r>
      <w:r>
        <w:t xml:space="preserve"> “The connector layer links those services to FHIR, payer systems, provider data, scheduling, claims, EDI, logs, and work queues.”</w:t>
      </w:r>
    </w:p>
    <w:p>
      <w:r>
        <w:rPr>
          <w:b/>
        </w:rPr>
        <w:t>Transition:</w:t>
      </w:r>
      <w:r>
        <w:t xml:space="preserve"> “The current POC runtime is a smaller version of this platform.”</w:t>
      </w:r>
    </w:p>
    <w:p>
      <w:pPr>
        <w:pStyle w:val="Heading1"/>
      </w:pPr>
      <w:r>
        <w:t>Slide 10, The POC Runtime Is Small and Reusable, 1 minute 5 seconds</w:t>
      </w:r>
    </w:p>
    <w:p>
      <w:r>
        <w:rPr>
          <w:b/>
        </w:rPr>
        <w:t>Key message:</w:t>
      </w:r>
      <w:r>
        <w:t xml:space="preserve"> Show what is already implemented.</w:t>
      </w:r>
    </w:p>
    <w:p>
      <w:r>
        <w:rPr>
          <w:b/>
          <w:color w:val="0B7A68"/>
        </w:rPr>
        <w:t>Reading script:</w:t>
      </w:r>
    </w:p>
    <w:p>
      <w:r>
        <w:t>“The current runtime is intentionally small. The referral endpoint proves referral reading, provider lookup, fixed filters, ranking, human review, and audit. The claims endpoint proves parsing, validation, normalization, investigation, routing, and audit.</w:t>
      </w:r>
    </w:p>
    <w:p>
      <w:r>
        <w:t>The task files are outside the runtime code. A local deterministic implementation keeps the demo repeatable and credential-independent. It does not call an LLM or Bedrock. The typed outputs and automated tests make the behavior clear and repeatable.</w:t>
      </w:r>
    </w:p>
    <w:p>
      <w:r>
        <w:t>In production, an approved model gateway can replace the local implementation without changing the core task or tool contract.”</w:t>
      </w:r>
    </w:p>
    <w:p>
      <w:r>
        <w:rPr>
          <w:b/>
        </w:rPr>
        <w:t>Transition:</w:t>
      </w:r>
      <w:r>
        <w:t xml:space="preserve"> “I will now walk through the UC2 flow.”</w:t>
      </w:r>
    </w:p>
    <w:p>
      <w:pPr>
        <w:pStyle w:val="Heading1"/>
      </w:pPr>
      <w:r>
        <w:t>Slide 11, UC2 Filters First, Then Ranks, 1 minute 30 seconds</w:t>
      </w:r>
    </w:p>
    <w:p>
      <w:r>
        <w:rPr>
          <w:b/>
        </w:rPr>
        <w:t>Key message:</w:t>
      </w:r>
      <w:r>
        <w:t xml:space="preserve"> The provider shortlist is controlled before AI ranking.</w:t>
      </w:r>
    </w:p>
    <w:p>
      <w:r>
        <w:rPr>
          <w:b/>
          <w:color w:val="0B7A68"/>
        </w:rPr>
        <w:t>Reading script:</w:t>
      </w:r>
    </w:p>
    <w:p>
      <w:r>
        <w:t>“UC2 starts by reading the referral and finding the likely specialty. It then gets provider facts from the provider tool.</w:t>
      </w:r>
    </w:p>
    <w:p>
      <w:r>
        <w:t>The next step is important. The workflow removes providers that do not support the member’s product or are not accepting new patients. These fixed rules run before ranking.</w:t>
      </w:r>
    </w:p>
    <w:p>
      <w:r>
        <w:t>The workflow ranks only the valid providers. The current POC score uses clinical fit, quality, and distance. It then explains the top choice and returns the evidence. If the specialty is unclear, or confidence is low, the case goes to human review.</w:t>
      </w:r>
    </w:p>
    <w:p>
      <w:r>
        <w:t>The reasoning layer never creates a provider or changes network status.”</w:t>
      </w:r>
    </w:p>
    <w:p>
      <w:r>
        <w:rPr>
          <w:b/>
        </w:rPr>
        <w:t>Demo cue:</w:t>
      </w:r>
      <w:r>
        <w:t xml:space="preserve"> Open the referral endpoint or use the saved result for REF-001.</w:t>
      </w:r>
    </w:p>
    <w:p>
      <w:r>
        <w:rPr>
          <w:b/>
        </w:rPr>
        <w:t>Transition:</w:t>
      </w:r>
      <w:r>
        <w:t xml:space="preserve"> “The three tested scenarios show the control model.”</w:t>
      </w:r>
    </w:p>
    <w:p>
      <w:pPr>
        <w:pStyle w:val="Heading1"/>
      </w:pPr>
      <w:r>
        <w:t>Slide 12, UC2 Passed Three Clear Scenarios, 1 minute 15 seconds</w:t>
      </w:r>
    </w:p>
    <w:p>
      <w:r>
        <w:rPr>
          <w:b/>
        </w:rPr>
        <w:t>Key message:</w:t>
      </w:r>
      <w:r>
        <w:t xml:space="preserve"> Use concrete results from the working POC.</w:t>
      </w:r>
    </w:p>
    <w:p>
      <w:r>
        <w:rPr>
          <w:b/>
          <w:color w:val="0B7A68"/>
        </w:rPr>
        <w:t>Reading script:</w:t>
      </w:r>
    </w:p>
    <w:p>
      <w:r>
        <w:t>“The first case is a normal knee referral. The POC routes the case to Capital Ortho Sports Medicine, provider P100, with a score of zero point nine five one.</w:t>
      </w:r>
    </w:p>
    <w:p>
      <w:r>
        <w:t>The second case tests a network guardrail. Provider P101 has strong clinical data, but it does not support the member’s PPO product. The workflow excludes that provider before ranking.</w:t>
      </w:r>
    </w:p>
    <w:p>
      <w:r>
        <w:t>The third case is ambiguous. The referral could support Orthopedic Surgery or Neurology. The confidence is zero point five eight, so the workflow returns review required and does not rank providers.</w:t>
      </w:r>
    </w:p>
    <w:p>
      <w:r>
        <w:t>Each result includes the rules, evidence, confidence, review state, and audit events.”</w:t>
      </w:r>
    </w:p>
    <w:p>
      <w:r>
        <w:rPr>
          <w:b/>
        </w:rPr>
        <w:t>Demo cue:</w:t>
      </w:r>
      <w:r>
        <w:t xml:space="preserve"> Show REF-002 for the network rule, then REF-003 for human review. Use saved output if the live window is unavailable.</w:t>
      </w:r>
    </w:p>
    <w:p>
      <w:r>
        <w:rPr>
          <w:b/>
        </w:rPr>
        <w:t>Transition:</w:t>
      </w:r>
      <w:r>
        <w:t xml:space="preserve"> “UC5 uses a different pattern.”</w:t>
      </w:r>
    </w:p>
    <w:p>
      <w:pPr>
        <w:pStyle w:val="Heading1"/>
      </w:pPr>
      <w:r>
        <w:t>Slide 13, UC5 Keeps AI Off the Successful Claim Path, 1 minute 30 seconds</w:t>
      </w:r>
    </w:p>
    <w:p>
      <w:r>
        <w:rPr>
          <w:b/>
        </w:rPr>
        <w:t>Key message:</w:t>
      </w:r>
      <w:r>
        <w:t xml:space="preserve"> Claims processing stays deterministic unless an exception needs help.</w:t>
      </w:r>
    </w:p>
    <w:p>
      <w:r>
        <w:rPr>
          <w:b/>
          <w:color w:val="0B7A68"/>
        </w:rPr>
        <w:t>Reading script:</w:t>
      </w:r>
    </w:p>
    <w:p>
      <w:r>
        <w:t>“UC5 begins with a synthetic 837P claim. The fast path identifies the transaction, parses the fields, checks required values, and creates a common JSON claim record. A successful claim then moves to claims processing without an investigation call.</w:t>
      </w:r>
    </w:p>
    <w:p>
      <w:r>
        <w:t>If processing fails, the workflow creates an exception case. It collects the validator result, logs, mapping information, and the approved runbook. The investigation step explains the likely cause and recommends the correct operations queue.</w:t>
      </w:r>
    </w:p>
    <w:p>
      <w:r>
        <w:t>This design protects speed, cost, and transaction safety. AI does not validate X12 syntax, and it does not decide whether the claim should be paid.”</w:t>
      </w:r>
    </w:p>
    <w:p>
      <w:r>
        <w:rPr>
          <w:b/>
        </w:rPr>
        <w:t>Demo cue:</w:t>
      </w:r>
      <w:r>
        <w:t xml:space="preserve"> Open the claims endpoint or use the saved result for CLM-001.</w:t>
      </w:r>
    </w:p>
    <w:p>
      <w:r>
        <w:rPr>
          <w:b/>
        </w:rPr>
        <w:t>Transition:</w:t>
      </w:r>
      <w:r>
        <w:t xml:space="preserve"> “The tested claim cases make that boundary clear.”</w:t>
      </w:r>
    </w:p>
    <w:p>
      <w:pPr>
        <w:pStyle w:val="Heading1"/>
      </w:pPr>
      <w:r>
        <w:t>Slide 14, UC5 Passed Three Clear Scenarios, 1 minute 15 seconds</w:t>
      </w:r>
    </w:p>
    <w:p>
      <w:r>
        <w:rPr>
          <w:b/>
        </w:rPr>
        <w:t>Key message:</w:t>
      </w:r>
      <w:r>
        <w:t xml:space="preserve"> Show the successful path and two exception paths.</w:t>
      </w:r>
    </w:p>
    <w:p>
      <w:r>
        <w:rPr>
          <w:b/>
          <w:color w:val="0B7A68"/>
        </w:rPr>
        <w:t>Reading script:</w:t>
      </w:r>
    </w:p>
    <w:p>
      <w:r>
        <w:t>“The first claim is valid. The POC creates the common claim JSON, marks the claim accepted, and records that investigation was bypassed.</w:t>
      </w:r>
    </w:p>
    <w:p>
      <w:r>
        <w:t>The second claim is missing the rendering-provider NPI. The fixed validator returns error VAL-RENDERING-NPI. The investigation uses the claims runbook, explains the issue, and routes it to EDI Operations with confidence zero point nine eight.</w:t>
      </w:r>
    </w:p>
    <w:p>
      <w:r>
        <w:t>The third claim passes initial checks but receives a simulated MAP-204 downstream error. The investigation finds the matching runbook entry and routes the case to Claims Integration Support with confidence zero point nine four.”</w:t>
      </w:r>
    </w:p>
    <w:p>
      <w:r>
        <w:rPr>
          <w:b/>
        </w:rPr>
        <w:t>Demo cue:</w:t>
      </w:r>
      <w:r>
        <w:t xml:space="preserve"> Show CLM-002, then CLM-003. Keep the canonical JSON visible for CLM-001 if time allows.</w:t>
      </w:r>
    </w:p>
    <w:p>
      <w:r>
        <w:rPr>
          <w:b/>
        </w:rPr>
        <w:t>Transition:</w:t>
      </w:r>
      <w:r>
        <w:t xml:space="preserve"> “The production design maps these same logical parts to AWS.”</w:t>
      </w:r>
    </w:p>
    <w:p>
      <w:pPr>
        <w:pStyle w:val="Heading1"/>
      </w:pPr>
      <w:r>
        <w:t>Slide 15, AWS Maps to the Logical Design, 1 minute 15 seconds</w:t>
      </w:r>
    </w:p>
    <w:p>
      <w:r>
        <w:rPr>
          <w:b/>
        </w:rPr>
        <w:t>Key message:</w:t>
      </w:r>
      <w:r>
        <w:t xml:space="preserve"> Explain the AWS reference architecture without turning it into a logo list.</w:t>
      </w:r>
    </w:p>
    <w:p>
      <w:r>
        <w:rPr>
          <w:b/>
          <w:color w:val="0B7A68"/>
        </w:rPr>
        <w:t>Reading script:</w:t>
      </w:r>
    </w:p>
    <w:p>
      <w:r>
        <w:t>“The AWS design starts with controlled entry through Route 53, CloudFront, AWS WAF, API Gateway, and enterprise identity.</w:t>
      </w:r>
    </w:p>
    <w:p>
      <w:r>
        <w:t>The runtime uses Step Functions or a container workflow service. Lambda or ECS runs fixed tools and connectors. EventBridge and SQS support async work, retries, and queues.</w:t>
      </w:r>
    </w:p>
    <w:p>
      <w:r>
        <w:t>Amazon Bedrock sits behind a model gateway for production model access. S3 and DynamoDB or Aurora store approved documents and workflow state. The integration zone connects to FHIR, payer APIs, EDI, claims platforms, logs, and work queues.</w:t>
      </w:r>
    </w:p>
    <w:p>
      <w:r>
        <w:t>KMS, Secrets Manager, private endpoints, CloudTrail, CloudWatch, Config, Security Hub, and GuardDuty support security and operations.”</w:t>
      </w:r>
    </w:p>
    <w:p>
      <w:r>
        <w:rPr>
          <w:b/>
        </w:rPr>
        <w:t>Cut first if time is short:</w:t>
      </w:r>
      <w:r>
        <w:t xml:space="preserve"> “S3 and DynamoDB or Aurora store approved documents and workflow state.”</w:t>
      </w:r>
    </w:p>
    <w:p>
      <w:r>
        <w:rPr>
          <w:b/>
        </w:rPr>
        <w:t>Transition:</w:t>
      </w:r>
      <w:r>
        <w:t xml:space="preserve"> “Production also needs clear safety and recovery rules.”</w:t>
      </w:r>
    </w:p>
    <w:p>
      <w:pPr>
        <w:pStyle w:val="Heading1"/>
      </w:pPr>
      <w:r>
        <w:t>Slide 16, Production Needs Clear Safety and Recovery Rules, 1 minute 30 seconds</w:t>
      </w:r>
    </w:p>
    <w:p>
      <w:r>
        <w:rPr>
          <w:b/>
        </w:rPr>
        <w:t>Key message:</w:t>
      </w:r>
      <w:r>
        <w:t xml:space="preserve"> Production readiness is a control system, not only a model choice.</w:t>
      </w:r>
    </w:p>
    <w:p>
      <w:r>
        <w:rPr>
          <w:b/>
          <w:color w:val="0B7A68"/>
        </w:rPr>
        <w:t>Reading script:</w:t>
      </w:r>
    </w:p>
    <w:p>
      <w:r>
        <w:t>“The security design uses least privilege, encryption, private access, secure logs, and limits on PHI. The AI design uses approved knowledge, typed outputs, confidence rules, guardrails, and model tests.</w:t>
      </w:r>
    </w:p>
    <w:p>
      <w:r>
        <w:t>The workflow design saves state outside the model. It supports retries, timeouts, dead-letter queues, and replay. Human review has clear triggers, owners, service levels, and final approval.</w:t>
      </w:r>
    </w:p>
    <w:p>
      <w:r>
        <w:t>For claims, the successful path stays deterministic. The audit record connects facts, rules, evidence, tool calls, model version, and final action.”</w:t>
      </w:r>
    </w:p>
    <w:p>
      <w:r>
        <w:rPr>
          <w:b/>
        </w:rPr>
        <w:t>Transition:</w:t>
      </w:r>
      <w:r>
        <w:t xml:space="preserve"> “UC2 is the best first workflow to take through these production steps.”</w:t>
      </w:r>
    </w:p>
    <w:p>
      <w:pPr>
        <w:pStyle w:val="Heading1"/>
      </w:pPr>
      <w:r>
        <w:t>Slide 17, UC2 Is the First Production Target, 1 minute 10 seconds</w:t>
      </w:r>
    </w:p>
    <w:p>
      <w:r>
        <w:rPr>
          <w:b/>
        </w:rPr>
        <w:t>Key message:</w:t>
      </w:r>
      <w:r>
        <w:t xml:space="preserve"> Turn the POC into a clear production checklist.</w:t>
      </w:r>
    </w:p>
    <w:p>
      <w:r>
        <w:rPr>
          <w:b/>
          <w:color w:val="0B7A68"/>
        </w:rPr>
        <w:t>Reading script:</w:t>
      </w:r>
    </w:p>
    <w:p>
      <w:r>
        <w:t>“The production plan starts by connecting the real referral source. We then connect member, eligibility, benefit, and product data.</w:t>
      </w:r>
    </w:p>
    <w:p>
      <w:r>
        <w:t>Provider and network data needs clear ownership, quality rules, product participation, specialty, location, and source history. Authorization status and policy information also need a trusted interface.</w:t>
      </w:r>
    </w:p>
    <w:p>
      <w:r>
        <w:t>The human-review flag becomes a real care-coordinator queue with ownership and service levels. The three POC tests become part of a larger golden dataset with release thresholds. Monitoring, support, rollback, and change control complete the operating model.”</w:t>
      </w:r>
    </w:p>
    <w:p>
      <w:r>
        <w:rPr>
          <w:b/>
        </w:rPr>
        <w:t>Transition:</w:t>
      </w:r>
      <w:r>
        <w:t xml:space="preserve"> “The twelve-week plan delivers this in clear steps.”</w:t>
      </w:r>
    </w:p>
    <w:p>
      <w:pPr>
        <w:pStyle w:val="Heading1"/>
      </w:pPr>
      <w:r>
        <w:t>Slide 18, The Twelve-Week Plan Builds Value and Reuse, 1 minute 20 seconds</w:t>
      </w:r>
    </w:p>
    <w:p>
      <w:r>
        <w:rPr>
          <w:b/>
        </w:rPr>
        <w:t>Key message:</w:t>
      </w:r>
      <w:r>
        <w:t xml:space="preserve"> The plan balances discovery, build, testing, and production planning.</w:t>
      </w:r>
    </w:p>
    <w:p>
      <w:r>
        <w:rPr>
          <w:b/>
          <w:color w:val="0B7A68"/>
        </w:rPr>
        <w:t>Reading script:</w:t>
      </w:r>
    </w:p>
    <w:p>
      <w:r>
        <w:t>“In weeks one and two, the team validates systems, measures, security needs, and synthetic data.</w:t>
      </w:r>
    </w:p>
    <w:p>
      <w:r>
        <w:t>In weeks three and four, the team completes the architecture, task and tool contracts, test cases, and demo design.</w:t>
      </w:r>
    </w:p>
    <w:p>
      <w:r>
        <w:t>In weeks five through eight, the team builds the shared runtime and both POCs, including review, audit, and tests.</w:t>
      </w:r>
    </w:p>
    <w:p>
      <w:r>
        <w:t>In weeks nine and ten, stakeholders test the workflows and review errors, security, and architecture. In weeks eleven and twelve, the team completes the UC2 production plan, sizing, roadmap, and final decision package.”</w:t>
      </w:r>
    </w:p>
    <w:p>
      <w:r>
        <w:rPr>
          <w:b/>
        </w:rPr>
        <w:t>Transition:</w:t>
      </w:r>
      <w:r>
        <w:t xml:space="preserve"> “The same work then speeds up the roadmap.”</w:t>
      </w:r>
    </w:p>
    <w:p>
      <w:pPr>
        <w:pStyle w:val="Heading1"/>
      </w:pPr>
      <w:r>
        <w:t>Slide 19, Reuse Makes the Roadmap Faster, 1 minute 15 seconds</w:t>
      </w:r>
    </w:p>
    <w:p>
      <w:r>
        <w:rPr>
          <w:b/>
        </w:rPr>
        <w:t>Key message:</w:t>
      </w:r>
      <w:r>
        <w:t xml:space="preserve"> Show how each later workflow reuses completed parts.</w:t>
      </w:r>
    </w:p>
    <w:p>
      <w:r>
        <w:rPr>
          <w:b/>
          <w:color w:val="0B7A68"/>
        </w:rPr>
        <w:t>Reading script:</w:t>
      </w:r>
    </w:p>
    <w:p>
      <w:r>
        <w:t>“Phase One proves UC2 and UC5 on one shared runtime. The first production step is UC2 with real payer systems and controls.</w:t>
      </w:r>
    </w:p>
    <w:p>
      <w:r>
        <w:t>UC3 then reuses member, provider, policy, workflow, audit, and review services for scheduling. UC4 matures the provider and network data foundation. UC5 expands into production EDI and claims operations. UC1 later reuses policy, document, authorization, provider, workflow, and review services for procedure readiness.</w:t>
      </w:r>
    </w:p>
    <w:p>
      <w:r>
        <w:t>This roadmap builds on completed work. It does not restart the architecture for each use case.”</w:t>
      </w:r>
    </w:p>
    <w:p>
      <w:r>
        <w:rPr>
          <w:b/>
        </w:rPr>
        <w:t>Transition:</w:t>
      </w:r>
      <w:r>
        <w:t xml:space="preserve"> “I will close with the three decisions I recommend.”</w:t>
      </w:r>
    </w:p>
    <w:p>
      <w:pPr>
        <w:pStyle w:val="Heading1"/>
      </w:pPr>
      <w:r>
        <w:t>Slide 20, Approve the Two-POC Path, 45 seconds</w:t>
      </w:r>
    </w:p>
    <w:p>
      <w:r>
        <w:rPr>
          <w:b/>
        </w:rPr>
        <w:t>Key message:</w:t>
      </w:r>
      <w:r>
        <w:t xml:space="preserve"> End with clear decisions and the first next step.</w:t>
      </w:r>
    </w:p>
    <w:p>
      <w:r>
        <w:rPr>
          <w:b/>
          <w:color w:val="0B7A68"/>
        </w:rPr>
        <w:t>Reading script:</w:t>
      </w:r>
    </w:p>
    <w:p>
      <w:r>
        <w:t>“My recommendation has three parts. First, use UC2 and UC5 as the two interview POCs. Second, use UC2 as the first production enablement plan. Third, build the common task, tool, knowledge, state, audit, and evaluation services once.</w:t>
      </w:r>
    </w:p>
    <w:p>
      <w:r>
        <w:t>The immediate next step is a focused discovery with the client. We should confirm systems, data owners, operating teams, security rules, and acceptance measures. That discovery will replace the documented assumptions with client facts and produce the production backlog.</w:t>
      </w:r>
    </w:p>
    <w:p>
      <w:r>
        <w:t>Thank you. I am ready for questions.”</w:t>
      </w:r>
    </w:p>
    <w:p>
      <w:pPr>
        <w:pStyle w:val="Title"/>
        <w:jc w:val="center"/>
      </w:pPr>
      <w:r>
        <w:t>Demo Recovery Plan</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Situation</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Response</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Live application opens normally</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Run REF-002 and CLM-003 because they show the strongest control and investigation stories.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Time is limited</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Show the saved REF-002 and CLM-003 outputs and explain the deterministic boundaries.</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Application window is unavailable</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 xml:space="preserve">Use the evidence slides and the saved </w:t>
            </w:r>
            <w:r>
              <w:rPr>
                <w:rFonts w:ascii="Roboto" w:hAnsi="Roboto"/>
                <w:color w:val="0B7A68"/>
                <w:sz w:val="21"/>
              </w:rPr>
              <w:t>demo_outputs.json</w:t>
            </w:r>
            <w:r>
              <w:rPr>
                <w:rFonts w:ascii="Roboto" w:hAnsi="Roboto"/>
                <w:sz w:val="21"/>
              </w:rPr>
              <w:t xml:space="preserve"> results.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Unexpected live output</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Return to the saved tested output and state that the fixed demo scenarios are the release evidence.</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Question about AI use</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Say that the POCs use local deterministic implementations to test contracts and controls. State that no LLM or Bedrock call is part of the current tests. Explain that production can use an approved model gateway without changing the contracts.</w:t>
            </w:r>
          </w:p>
        </w:tc>
      </w:tr>
    </w:tbl>
    <w:p/>
    <w:p>
      <w:pPr>
        <w:pStyle w:val="Title"/>
        <w:jc w:val="center"/>
      </w:pPr>
      <w:r>
        <w:t>Likely Q&amp;A Bridges</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Question</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Short answer</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What is actually implemented?</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The POCs locally implement and test workflow contracts, fixed controls, task structure, tool boundaries, and exception paths. They do not call an LLM or Bedrock.</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Why agentic AI in production?</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The production workflow needs interpretation, approved tool use, saved state, explanation, and exception handling across several systems.</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Why keep fixed rules?</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Network checks, X12 validation, and transactions need repeatable results and clear audit.</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Why UC2 and UC5?</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UC2 has the best value-to-lift score. UC5 adds a different payer-owned operations pattern.</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Why not UC3 now?</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It has high value, but production depends on provider scheduling access.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Why not UC4 as a POC?</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It is a key foundation, but full value needs broad provider-data integration and governance.</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How do you reduce hallucination?</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Use trusted tools, approved knowledge, fixed rules, typed outputs, evidence, confidence limits, and human review.</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What does AI control?</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AI reads, explains, investigates, and recommends. Trusted systems and people control facts and material actions.</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Why AWS?</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AWS is the reference cloud. The logical design remains portable and maps to the client’s platform standards.</w:t>
            </w:r>
          </w:p>
        </w:tc>
      </w:tr>
    </w:tbl>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Roboto" w:hAnsi="Roboto"/>
        <w:color w:val="6B7280"/>
        <w:sz w:val="18"/>
      </w:rPr>
      <w:t>Autonomize Interview Package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Roboto" w:hAnsi="Roboto"/>
        <w:color w:val="6B7280"/>
        <w:sz w:val="18"/>
      </w:rPr>
      <w:t>Reading Script 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Roboto" w:hAnsi="Roboto"/>
      <w:color w:val="26344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Roboto" w:hAnsi="Roboto"/>
      <w:b/>
      <w:bCs/>
      <w:color w:val="0B3A6E"/>
      <w:sz w:val="34"/>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Roboto" w:hAnsi="Roboto"/>
      <w:b/>
      <w:bCs/>
      <w:color w:val="0B3A6E"/>
      <w:sz w:val="28"/>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Roboto" w:hAnsi="Roboto"/>
      <w:b/>
      <w:bCs/>
      <w:color w:val="0B7A6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80"/>
      <w:contextualSpacing/>
    </w:pPr>
    <w:rPr>
      <w:rFonts w:asciiTheme="majorHAnsi" w:eastAsiaTheme="majorEastAsia" w:hAnsiTheme="majorHAnsi" w:cstheme="majorBidi" w:ascii="Roboto" w:hAnsi="Roboto"/>
      <w:b/>
      <w:color w:val="0B3A6E"/>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Chillara</dc:creator>
  <cp:keywords/>
  <dc:description>generated by python-docx</dc:description>
  <cp:lastModifiedBy/>
  <cp:revision>1</cp:revision>
  <dcterms:created xsi:type="dcterms:W3CDTF">2013-12-23T23:15:00Z</dcterms:created>
  <dcterms:modified xsi:type="dcterms:W3CDTF">2013-12-23T23:15:00Z</dcterms:modified>
  <cp:category/>
</cp:coreProperties>
</file>