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Autonomize Two-POC Demo Guide</w:t>
      </w:r>
    </w:p>
    <w:p>
      <w:r>
        <w:rPr>
          <w:b/>
        </w:rPr>
        <w:t>POCs:</w:t>
      </w:r>
      <w:r>
        <w:t xml:space="preserve"> UC2 Intelligent Referral Matching and Routing, and UC5 Claims Ingestion and Normalization </w:t>
      </w:r>
      <w:r>
        <w:rPr>
          <w:b/>
        </w:rPr>
        <w:t>Runtime:</w:t>
      </w:r>
      <w:r>
        <w:t xml:space="preserve"> FastAPI </w:t>
      </w:r>
      <w:r>
        <w:rPr>
          <w:b/>
        </w:rPr>
        <w:t>Data:</w:t>
      </w:r>
      <w:r>
        <w:t xml:space="preserve"> Synthetic </w:t>
      </w:r>
      <w:r>
        <w:rPr>
          <w:b/>
        </w:rPr>
        <w:t>Validation evidence:</w:t>
      </w:r>
      <w:r>
        <w:t xml:space="preserve"> Automated test execution, 6 of 6 tests passed.</w:t>
      </w:r>
    </w:p>
    <w:p>
      <w:pPr>
        <w:pStyle w:val="Heading1"/>
      </w:pPr>
      <w:r>
        <w:t>1. Demo Goal</w:t>
      </w:r>
    </w:p>
    <w:p>
      <w:r>
        <w:t>The demo shows two working payer workflows on one small runtime. UC2 reads a referral, uses provider facts, applies fixed payer rules, ranks valid providers, explains the result, and sends unclear cases to human review. UC5 parses an 837P claim, validates required data, creates a common claim record, and helps staff investigate exceptions. The POCs use local deterministic implementations for workflow contracts, fixed controls, task structure, tool boundaries, and exception paths. They do not call an LLM or Amazon Bedrock.</w:t>
      </w:r>
    </w:p>
    <w:p>
      <w:pPr>
        <w:pStyle w:val="Heading1"/>
      </w:pPr>
      <w:r>
        <w:t>2. Package Contents</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Item</w:t>
            </w:r>
          </w:p>
        </w:tc>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Purpose</w:t>
            </w:r>
          </w:p>
        </w:tc>
      </w:tr>
      <w:tr>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app/main.py</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FastAPI routes for both POCs.</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app/services.py</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Referral logic, provider filters, ranking, X12 parsing, claim validation, normalization, and investigation logic.</w:t>
            </w:r>
          </w:p>
        </w:tc>
      </w:tr>
      <w:tr>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app/models.py</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Request and response contracts.</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app/data</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Synthetic referrals, providers, and claim examples.</w:t>
            </w:r>
          </w:p>
        </w:tc>
      </w:tr>
      <w:tr>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app/tasks</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Task instructions stored outside the runtime logic.</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app/knowledge/claims_runbook.md</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Approved claims error guidance used by the investigation flow.</w:t>
            </w:r>
          </w:p>
        </w:tc>
      </w:tr>
      <w:tr>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tests/test_pocs.py</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Six automated tests for the main demo paths.</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demo_outputs.json</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Saved outputs for all six scenarios.</w:t>
            </w:r>
          </w:p>
        </w:tc>
      </w:tr>
    </w:tbl>
    <w:p/>
    <w:p>
      <w:pPr>
        <w:pStyle w:val="Heading1"/>
      </w:pPr>
      <w:r>
        <w:t>3. Setup</w:t>
      </w:r>
    </w:p>
    <w:p>
      <w:r>
        <w:t>Run the following commands from the extracted POC folder.</w:t>
      </w:r>
    </w:p>
    <w:p>
      <w:r>
        <w:rPr>
          <w:rFonts w:ascii="Roboto Mono" w:hAnsi="Roboto Mono"/>
          <w:color w:val="263445"/>
          <w:sz w:val="21"/>
        </w:rPr>
        <w:t>python -m venv .venv</w:t>
      </w:r>
    </w:p>
    <w:p>
      <w:r>
        <w:rPr>
          <w:rFonts w:ascii="Roboto Mono" w:hAnsi="Roboto Mono"/>
          <w:color w:val="263445"/>
          <w:sz w:val="21"/>
        </w:rPr>
        <w:t>source .venv/bin/activate</w:t>
      </w:r>
    </w:p>
    <w:p>
      <w:r>
        <w:rPr>
          <w:rFonts w:ascii="Roboto Mono" w:hAnsi="Roboto Mono"/>
          <w:color w:val="263445"/>
          <w:sz w:val="21"/>
        </w:rPr>
        <w:t>pip install -r requirements.txt</w:t>
      </w:r>
    </w:p>
    <w:p>
      <w:r>
        <w:rPr>
          <w:rFonts w:ascii="Roboto Mono" w:hAnsi="Roboto Mono"/>
          <w:color w:val="263445"/>
          <w:sz w:val="21"/>
        </w:rPr>
        <w:t>uvicorn app.main:app --reload</w:t>
      </w:r>
    </w:p>
    <w:p>
      <w:r>
        <w:t xml:space="preserve">On Windows, activate the environment with </w:t>
      </w:r>
      <w:r>
        <w:rPr>
          <w:rFonts w:ascii="Roboto Mono" w:hAnsi="Roboto Mono"/>
          <w:color w:val="0B7A68"/>
        </w:rPr>
        <w:t>.venv\Scripts\activate</w:t>
      </w:r>
      <w:r>
        <w:t>.</w:t>
      </w:r>
    </w:p>
    <w:p>
      <w:r>
        <w:t xml:space="preserve">Open the FastAPI page at </w:t>
      </w:r>
      <w:r>
        <w:rPr>
          <w:rFonts w:ascii="Roboto Mono" w:hAnsi="Roboto Mono"/>
          <w:color w:val="0B7A68"/>
        </w:rPr>
        <w:t>http://127.0.0.1:8000/docs</w:t>
      </w:r>
      <w:r>
        <w:t>.</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Endpoint</w:t>
            </w:r>
          </w:p>
        </w:tc>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Purpose</w:t>
            </w:r>
          </w:p>
        </w:tc>
      </w:tr>
      <w:tr>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GET /demo/referrals</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Shows the three referral inputs.</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GET /demo/claims</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Shows the three claims inputs.</w:t>
            </w:r>
          </w:p>
        </w:tc>
      </w:tr>
      <w:tr>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POST /referrals/match</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Runs the UC2 workflow.</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POST /claims/process</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Runs the UC5 workflow.</w:t>
            </w:r>
          </w:p>
        </w:tc>
      </w:tr>
    </w:tbl>
    <w:p/>
    <w:p>
      <w:pPr>
        <w:pStyle w:val="Heading1"/>
      </w:pPr>
      <w:r>
        <w:t>4. Recommended Live Demo Order</w:t>
      </w:r>
    </w:p>
    <w:p>
      <w:r>
        <w:t xml:space="preserve">Use two live scenarios during the interview. Start with </w:t>
      </w:r>
      <w:r>
        <w:rPr>
          <w:rFonts w:ascii="Roboto Mono" w:hAnsi="Roboto Mono"/>
          <w:color w:val="0B7A68"/>
        </w:rPr>
        <w:t>REF-002</w:t>
      </w:r>
      <w:r>
        <w:t xml:space="preserve"> because it shows the fixed network rule. Then use </w:t>
      </w:r>
      <w:r>
        <w:rPr>
          <w:rFonts w:ascii="Roboto Mono" w:hAnsi="Roboto Mono"/>
          <w:color w:val="0B7A68"/>
        </w:rPr>
        <w:t>CLM-003</w:t>
      </w:r>
      <w:r>
        <w:t xml:space="preserve"> because it shows a full exception investigation. Rehearse </w:t>
      </w:r>
      <w:r>
        <w:rPr>
          <w:rFonts w:ascii="Roboto Mono" w:hAnsi="Roboto Mono"/>
          <w:color w:val="0B7A68"/>
        </w:rPr>
        <w:t>CLM-003</w:t>
      </w:r>
      <w:r>
        <w:t xml:space="preserve"> once before the interview. Confirm the request payload, the </w:t>
      </w:r>
      <w:r>
        <w:rPr>
          <w:rFonts w:ascii="Roboto Mono" w:hAnsi="Roboto Mono"/>
          <w:color w:val="0B7A68"/>
        </w:rPr>
        <w:t>MAP-204</w:t>
      </w:r>
      <w:r>
        <w:t xml:space="preserve"> simulated error, the canonical claim output, the runbook evidence, the </w:t>
      </w:r>
      <w:r>
        <w:rPr>
          <w:rFonts w:ascii="Roboto Mono" w:hAnsi="Roboto Mono"/>
          <w:color w:val="0B7A68"/>
        </w:rPr>
        <w:t>0.94</w:t>
      </w:r>
      <w:r>
        <w:t xml:space="preserve"> confidence value, and the Claims Integration Support route. Use the saved outputs for the remaining four scenarios if time permits.</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Order</w:t>
            </w:r>
          </w:p>
        </w:tc>
        <w:tc>
          <w:tcPr>
            <w:tcW w:type="dxa" w:w="3408"/>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Scenario</w:t>
            </w:r>
          </w:p>
        </w:tc>
        <w:tc>
          <w:tcPr>
            <w:tcW w:type="dxa" w:w="3408"/>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Why it is useful</w:t>
            </w:r>
          </w:p>
        </w:tc>
      </w:tr>
      <w:tr>
        <w:tc>
          <w:tcPr>
            <w:tcW w:type="dxa" w:w="3408"/>
            <w:vAlign w:val="center"/>
            <w:tcMar>
              <w:top w:w="80" w:type="dxa"/>
              <w:start w:w="80" w:type="dxa"/>
              <w:bottom w:w="80" w:type="dxa"/>
              <w:end w:w="80" w:type="dxa"/>
            </w:tcMar>
          </w:tcPr>
          <w:p>
            <w:r>
              <w:rPr>
                <w:rFonts w:ascii="Roboto" w:hAnsi="Roboto"/>
                <w:sz w:val="21"/>
              </w:rPr>
            </w:r>
            <w:r>
              <w:rPr>
                <w:rFonts w:ascii="Roboto" w:hAnsi="Roboto"/>
                <w:b/>
                <w:sz w:val="21"/>
              </w:rPr>
              <w:t>1</w:t>
            </w:r>
          </w:p>
        </w:tc>
        <w:tc>
          <w:tcPr>
            <w:tcW w:type="dxa" w:w="3408"/>
            <w:vAlign w:val="center"/>
            <w:tcMar>
              <w:top w:w="80" w:type="dxa"/>
              <w:start w:w="80" w:type="dxa"/>
              <w:bottom w:w="80" w:type="dxa"/>
              <w:end w:w="80" w:type="dxa"/>
            </w:tcMar>
          </w:tcPr>
          <w:p>
            <w:r>
              <w:rPr>
                <w:rFonts w:ascii="Roboto" w:hAnsi="Roboto"/>
                <w:sz w:val="21"/>
              </w:rPr>
            </w:r>
            <w:r>
              <w:rPr>
                <w:rFonts w:ascii="Roboto" w:hAnsi="Roboto"/>
                <w:color w:val="0B7A68"/>
                <w:sz w:val="21"/>
              </w:rPr>
              <w:t>REF-002</w:t>
            </w:r>
          </w:p>
        </w:tc>
        <w:tc>
          <w:tcPr>
            <w:tcW w:type="dxa" w:w="3408"/>
            <w:vAlign w:val="center"/>
            <w:tcMar>
              <w:top w:w="80" w:type="dxa"/>
              <w:start w:w="80" w:type="dxa"/>
              <w:bottom w:w="80" w:type="dxa"/>
              <w:end w:w="80" w:type="dxa"/>
            </w:tcMar>
          </w:tcPr>
          <w:p>
            <w:r>
              <w:rPr>
                <w:rFonts w:ascii="Roboto" w:hAnsi="Roboto"/>
                <w:sz w:val="21"/>
              </w:rPr>
            </w:r>
            <w:r>
              <w:rPr>
                <w:rFonts w:ascii="Roboto" w:hAnsi="Roboto"/>
                <w:sz w:val="21"/>
              </w:rPr>
              <w:t>Shows that the platform excludes an out-of-network provider before ranking.</w:t>
            </w:r>
          </w:p>
        </w:tc>
      </w:tr>
      <w:tr>
        <w:tc>
          <w:tcPr>
            <w:tcW w:type="dxa" w:w="3408"/>
            <w:vAlign w:val="center"/>
            <w:tcMar>
              <w:top w:w="80" w:type="dxa"/>
              <w:start w:w="80" w:type="dxa"/>
              <w:bottom w:w="80" w:type="dxa"/>
              <w:end w:w="80" w:type="dxa"/>
            </w:tcMar>
            <w:shd w:fill="F2F4F7"/>
          </w:tcPr>
          <w:p>
            <w:r>
              <w:rPr>
                <w:rFonts w:ascii="Roboto" w:hAnsi="Roboto"/>
                <w:sz w:val="21"/>
              </w:rPr>
            </w:r>
            <w:r>
              <w:rPr>
                <w:rFonts w:ascii="Roboto" w:hAnsi="Roboto"/>
                <w:b/>
                <w:sz w:val="21"/>
              </w:rPr>
              <w:t>2</w:t>
            </w:r>
          </w:p>
        </w:tc>
        <w:tc>
          <w:tcPr>
            <w:tcW w:type="dxa" w:w="3408"/>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CLM-003</w:t>
            </w:r>
          </w:p>
        </w:tc>
        <w:tc>
          <w:tcPr>
            <w:tcW w:type="dxa" w:w="3408"/>
            <w:vAlign w:val="center"/>
            <w:tcMar>
              <w:top w:w="80" w:type="dxa"/>
              <w:start w:w="80" w:type="dxa"/>
              <w:bottom w:w="80" w:type="dxa"/>
              <w:end w:w="80" w:type="dxa"/>
            </w:tcMar>
            <w:shd w:fill="F2F4F7"/>
          </w:tcPr>
          <w:p>
            <w:r>
              <w:rPr>
                <w:rFonts w:ascii="Roboto" w:hAnsi="Roboto"/>
                <w:sz w:val="21"/>
              </w:rPr>
            </w:r>
            <w:r>
              <w:rPr>
                <w:rFonts w:ascii="Roboto" w:hAnsi="Roboto"/>
                <w:sz w:val="21"/>
              </w:rPr>
              <w:t>Shows that the platform finds a downstream mapping problem and routes it to the right team.</w:t>
            </w:r>
          </w:p>
        </w:tc>
      </w:tr>
      <w:tr>
        <w:tc>
          <w:tcPr>
            <w:tcW w:type="dxa" w:w="3408"/>
            <w:vAlign w:val="center"/>
            <w:tcMar>
              <w:top w:w="80" w:type="dxa"/>
              <w:start w:w="80" w:type="dxa"/>
              <w:bottom w:w="80" w:type="dxa"/>
              <w:end w:w="80" w:type="dxa"/>
            </w:tcMar>
          </w:tcPr>
          <w:p>
            <w:r>
              <w:rPr>
                <w:rFonts w:ascii="Roboto" w:hAnsi="Roboto"/>
                <w:sz w:val="21"/>
              </w:rPr>
            </w:r>
            <w:r>
              <w:rPr>
                <w:rFonts w:ascii="Roboto" w:hAnsi="Roboto"/>
                <w:b/>
                <w:sz w:val="21"/>
              </w:rPr>
              <w:t>3</w:t>
            </w:r>
          </w:p>
        </w:tc>
        <w:tc>
          <w:tcPr>
            <w:tcW w:type="dxa" w:w="3408"/>
            <w:vAlign w:val="center"/>
            <w:tcMar>
              <w:top w:w="80" w:type="dxa"/>
              <w:start w:w="80" w:type="dxa"/>
              <w:bottom w:w="80" w:type="dxa"/>
              <w:end w:w="80" w:type="dxa"/>
            </w:tcMar>
          </w:tcPr>
          <w:p>
            <w:r>
              <w:rPr>
                <w:rFonts w:ascii="Roboto" w:hAnsi="Roboto"/>
                <w:sz w:val="21"/>
              </w:rPr>
            </w:r>
            <w:r>
              <w:rPr>
                <w:rFonts w:ascii="Roboto" w:hAnsi="Roboto"/>
                <w:color w:val="0B7A68"/>
                <w:sz w:val="21"/>
              </w:rPr>
              <w:t>REF-003</w:t>
            </w:r>
          </w:p>
        </w:tc>
        <w:tc>
          <w:tcPr>
            <w:tcW w:type="dxa" w:w="3408"/>
            <w:vAlign w:val="center"/>
            <w:tcMar>
              <w:top w:w="80" w:type="dxa"/>
              <w:start w:w="80" w:type="dxa"/>
              <w:bottom w:w="80" w:type="dxa"/>
              <w:end w:w="80" w:type="dxa"/>
            </w:tcMar>
          </w:tcPr>
          <w:p>
            <w:r>
              <w:rPr>
                <w:rFonts w:ascii="Roboto" w:hAnsi="Roboto"/>
                <w:sz w:val="21"/>
              </w:rPr>
            </w:r>
            <w:r>
              <w:rPr>
                <w:rFonts w:ascii="Roboto" w:hAnsi="Roboto"/>
                <w:sz w:val="21"/>
              </w:rPr>
              <w:t>Shows a clear human-review case.</w:t>
            </w:r>
          </w:p>
        </w:tc>
      </w:tr>
      <w:tr>
        <w:tc>
          <w:tcPr>
            <w:tcW w:type="dxa" w:w="3408"/>
            <w:vAlign w:val="center"/>
            <w:tcMar>
              <w:top w:w="80" w:type="dxa"/>
              <w:start w:w="80" w:type="dxa"/>
              <w:bottom w:w="80" w:type="dxa"/>
              <w:end w:w="80" w:type="dxa"/>
            </w:tcMar>
            <w:shd w:fill="F2F4F7"/>
          </w:tcPr>
          <w:p>
            <w:r>
              <w:rPr>
                <w:rFonts w:ascii="Roboto" w:hAnsi="Roboto"/>
                <w:sz w:val="21"/>
              </w:rPr>
            </w:r>
            <w:r>
              <w:rPr>
                <w:rFonts w:ascii="Roboto" w:hAnsi="Roboto"/>
                <w:b/>
                <w:sz w:val="21"/>
              </w:rPr>
              <w:t>4</w:t>
            </w:r>
          </w:p>
        </w:tc>
        <w:tc>
          <w:tcPr>
            <w:tcW w:type="dxa" w:w="3408"/>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CLM-001</w:t>
            </w:r>
          </w:p>
        </w:tc>
        <w:tc>
          <w:tcPr>
            <w:tcW w:type="dxa" w:w="3408"/>
            <w:vAlign w:val="center"/>
            <w:tcMar>
              <w:top w:w="80" w:type="dxa"/>
              <w:start w:w="80" w:type="dxa"/>
              <w:bottom w:w="80" w:type="dxa"/>
              <w:end w:w="80" w:type="dxa"/>
            </w:tcMar>
            <w:shd w:fill="F2F4F7"/>
          </w:tcPr>
          <w:p>
            <w:r>
              <w:rPr>
                <w:rFonts w:ascii="Roboto" w:hAnsi="Roboto"/>
                <w:sz w:val="21"/>
              </w:rPr>
            </w:r>
            <w:r>
              <w:rPr>
                <w:rFonts w:ascii="Roboto" w:hAnsi="Roboto"/>
                <w:sz w:val="21"/>
              </w:rPr>
              <w:t>Shows that a successful claim bypasses investigation.</w:t>
            </w:r>
          </w:p>
        </w:tc>
      </w:tr>
    </w:tbl>
    <w:p/>
    <w:p>
      <w:pPr>
        <w:pStyle w:val="Heading1"/>
      </w:pPr>
      <w:r>
        <w:t>5. UC2 Scenario One, Normal Referral</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Field</w:t>
            </w:r>
          </w:p>
        </w:tc>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Expected result</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Input ID</w:t>
            </w:r>
          </w:p>
        </w:tc>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REF-001</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Status</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ROUTED</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Top provider</w:t>
            </w:r>
          </w:p>
        </w:tc>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P100</w:t>
            </w:r>
            <w:r>
              <w:rPr>
                <w:rFonts w:ascii="Roboto" w:hAnsi="Roboto"/>
                <w:sz w:val="21"/>
              </w:rPr>
              <w:t>, Capital Ortho Sports Medicine</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Match score</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0.951</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Human review</w:t>
            </w:r>
          </w:p>
        </w:tc>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false</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Main evidence</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Provider facts, network and new-patient rules, ranked results, explanation, and audit events.</w:t>
            </w:r>
          </w:p>
        </w:tc>
      </w:tr>
    </w:tbl>
    <w:p/>
    <w:p>
      <w:r>
        <w:rPr>
          <w:b/>
        </w:rPr>
        <w:t>Reading line:</w:t>
      </w:r>
      <w:r>
        <w:t xml:space="preserve"> “The workflow reads the knee referral, finds Orthopedic Surgery, removes invalid providers, and ranks the valid choices. Capital Ortho Sports Medicine is the top valid result.”</w:t>
      </w:r>
    </w:p>
    <w:p>
      <w:pPr>
        <w:pStyle w:val="Heading1"/>
      </w:pPr>
      <w:r>
        <w:t>6. UC2 Scenario Two, Network Guardrail</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Field</w:t>
            </w:r>
          </w:p>
        </w:tc>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Expected result</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Input ID</w:t>
            </w:r>
          </w:p>
        </w:tc>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REF-002</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Status</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ROUTED</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Excluded provider</w:t>
            </w:r>
          </w:p>
        </w:tc>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P101</w:t>
            </w:r>
            <w:r>
              <w:rPr>
                <w:rFonts w:ascii="Roboto" w:hAnsi="Roboto"/>
                <w:sz w:val="21"/>
              </w:rPr>
              <w:t>, Metro Knee Institute</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Exclusion reason</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Not in member product PPO</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Top valid provider</w:t>
            </w:r>
          </w:p>
        </w:tc>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P100</w:t>
            </w:r>
            <w:r>
              <w:rPr>
                <w:rFonts w:ascii="Roboto" w:hAnsi="Roboto"/>
                <w:sz w:val="21"/>
              </w:rPr>
              <w:t>, Capital Ortho Sports Medicine</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Main control</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Fixed network rules run before ranking.</w:t>
            </w:r>
          </w:p>
        </w:tc>
      </w:tr>
    </w:tbl>
    <w:p/>
    <w:p>
      <w:r>
        <w:rPr>
          <w:b/>
        </w:rPr>
        <w:t>Reading line:</w:t>
      </w:r>
      <w:r>
        <w:t xml:space="preserve"> “Metro Knee Institute has a strong clinical profile, but it does not support the member’s PPO product. The system removes it before ranking. The reasoning step cannot override this rule.”</w:t>
      </w:r>
    </w:p>
    <w:p>
      <w:pPr>
        <w:pStyle w:val="Heading1"/>
      </w:pPr>
      <w:r>
        <w:t>7. UC2 Scenario Three, Human Review</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Field</w:t>
            </w:r>
          </w:p>
        </w:tc>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Expected result</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Input ID</w:t>
            </w:r>
          </w:p>
        </w:tc>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REF-003</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Status</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REVIEW_REQUIRED</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Possible specialties</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Orthopedic Surgery and Neurology</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Confidence</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0.58</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Human review</w:t>
            </w:r>
          </w:p>
        </w:tc>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true</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Main control</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The workflow does not rank providers when specialty intent is unclear.</w:t>
            </w:r>
          </w:p>
        </w:tc>
      </w:tr>
    </w:tbl>
    <w:p/>
    <w:p>
      <w:r>
        <w:rPr>
          <w:b/>
        </w:rPr>
        <w:t>Reading line:</w:t>
      </w:r>
      <w:r>
        <w:t xml:space="preserve"> “The referral can support two specialties. The confidence is below the review threshold, so the system sends the case to a care coordinator before provider matching.”</w:t>
      </w:r>
    </w:p>
    <w:p>
      <w:pPr>
        <w:pStyle w:val="Heading1"/>
      </w:pPr>
      <w:r>
        <w:t>8. UC5 Scenario One, Valid Claim</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Field</w:t>
            </w:r>
          </w:p>
        </w:tc>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Expected result</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Input ID</w:t>
            </w:r>
          </w:p>
        </w:tc>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CLM-001</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Status</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ACCEPTED</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Canonical claim</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Created</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Rendering-provider NPI</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1234567890</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Investigation</w:t>
            </w:r>
          </w:p>
        </w:tc>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null</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Main control</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A successful claim does not call the investigation flow.</w:t>
            </w:r>
          </w:p>
        </w:tc>
      </w:tr>
    </w:tbl>
    <w:p/>
    <w:p>
      <w:r>
        <w:rPr>
          <w:b/>
        </w:rPr>
        <w:t>Reading line:</w:t>
      </w:r>
      <w:r>
        <w:t xml:space="preserve"> “The 837P is parsed, checked, and converted into the common claim JSON. The claim is accepted, and the system records that investigation was bypassed.”</w:t>
      </w:r>
    </w:p>
    <w:p>
      <w:pPr>
        <w:pStyle w:val="Heading1"/>
      </w:pPr>
      <w:r>
        <w:t>9. UC5 Scenario Two, Missing Rendering-Provider NPI</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Field</w:t>
            </w:r>
          </w:p>
        </w:tc>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Expected result</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Input ID</w:t>
            </w:r>
          </w:p>
        </w:tc>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CLM-002</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Status</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EXCEPTION</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Validation error</w:t>
            </w:r>
          </w:p>
        </w:tc>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VAL-RENDERING-NPI</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Recommended route</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EDI Operations or Trading Partner Correction</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Confidence</w:t>
            </w:r>
          </w:p>
        </w:tc>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0.98</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Grounding</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claims_runbook.md</w:t>
            </w:r>
          </w:p>
        </w:tc>
      </w:tr>
    </w:tbl>
    <w:p/>
    <w:p>
      <w:r>
        <w:rPr>
          <w:b/>
        </w:rPr>
        <w:t>Reading line:</w:t>
      </w:r>
      <w:r>
        <w:t xml:space="preserve"> “The fixed validator finds the missing provider NPI. The investigation step uses the runbook to explain the error and route the case to EDI Operations.”</w:t>
      </w:r>
    </w:p>
    <w:p>
      <w:pPr>
        <w:pStyle w:val="Heading1"/>
      </w:pPr>
      <w:r>
        <w:t>10. UC5 Scenario Three, Downstream Mapping Failure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Field</w:t>
            </w:r>
          </w:p>
        </w:tc>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Expected result</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Input ID</w:t>
            </w:r>
          </w:p>
        </w:tc>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CLM-003</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Status</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color w:val="0B7A68"/>
                <w:sz w:val="21"/>
              </w:rPr>
              <w:t>DOWNSTREAM_EXCEPTION</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Error</w:t>
            </w:r>
          </w:p>
        </w:tc>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MAP-204</w:t>
            </w:r>
            <w:r>
              <w:rPr>
                <w:rFonts w:ascii="Roboto" w:hAnsi="Roboto"/>
                <w:sz w:val="21"/>
              </w:rPr>
              <w:t xml:space="preserve"> diagnosis-pointer transformation failure</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Recommended route</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Claims Integration Support</w:t>
            </w:r>
          </w:p>
        </w:tc>
      </w:tr>
      <w:tr>
        <w:tc>
          <w:tcPr>
            <w:tcW w:type="dxa" w:w="5112"/>
            <w:vAlign w:val="center"/>
            <w:tcMar>
              <w:top w:w="80" w:type="dxa"/>
              <w:start w:w="80" w:type="dxa"/>
              <w:bottom w:w="80" w:type="dxa"/>
              <w:end w:w="80" w:type="dxa"/>
            </w:tcMar>
          </w:tcPr>
          <w:p>
            <w:r>
              <w:rPr>
                <w:rFonts w:ascii="Roboto" w:hAnsi="Roboto"/>
                <w:sz w:val="21"/>
              </w:rPr>
            </w:r>
            <w:r>
              <w:rPr>
                <w:rFonts w:ascii="Roboto" w:hAnsi="Roboto"/>
                <w:b/>
                <w:sz w:val="21"/>
              </w:rPr>
              <w:t>Confidence</w:t>
            </w:r>
          </w:p>
        </w:tc>
        <w:tc>
          <w:tcPr>
            <w:tcW w:type="dxa" w:w="5112"/>
            <w:vAlign w:val="center"/>
            <w:tcMar>
              <w:top w:w="80" w:type="dxa"/>
              <w:start w:w="80" w:type="dxa"/>
              <w:bottom w:w="80" w:type="dxa"/>
              <w:end w:w="80" w:type="dxa"/>
            </w:tcMar>
          </w:tcPr>
          <w:p>
            <w:r>
              <w:rPr>
                <w:rFonts w:ascii="Roboto" w:hAnsi="Roboto"/>
                <w:sz w:val="21"/>
              </w:rPr>
            </w:r>
            <w:r>
              <w:rPr>
                <w:rFonts w:ascii="Roboto" w:hAnsi="Roboto"/>
                <w:color w:val="0B7A68"/>
                <w:sz w:val="21"/>
              </w:rPr>
              <w:t>0.94</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b/>
                <w:sz w:val="21"/>
              </w:rPr>
              <w:t>Main evidence</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Simulated downstream error and the matching runbook entry.</w:t>
            </w:r>
          </w:p>
        </w:tc>
      </w:tr>
    </w:tbl>
    <w:p/>
    <w:p>
      <w:r>
        <w:rPr>
          <w:b/>
        </w:rPr>
        <w:t>Reading line:</w:t>
      </w:r>
      <w:r>
        <w:t xml:space="preserve"> “The claim passes the first checks and the common claim record is created. A later mapping failure occurs. The investigation finds the MAP-204 runbook entry and routes the issue to Claims Integration Support.”</w:t>
      </w:r>
    </w:p>
    <w:p>
      <w:pPr>
        <w:pStyle w:val="Heading1"/>
      </w:pPr>
      <w:r>
        <w:t>11. Demo Timing</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Activity</w:t>
            </w:r>
          </w:p>
        </w:tc>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Target time</w:t>
            </w:r>
          </w:p>
        </w:tc>
      </w:tr>
      <w:tr>
        <w:tc>
          <w:tcPr>
            <w:tcW w:type="dxa" w:w="5112"/>
            <w:vAlign w:val="center"/>
            <w:tcMar>
              <w:top w:w="80" w:type="dxa"/>
              <w:start w:w="80" w:type="dxa"/>
              <w:bottom w:w="80" w:type="dxa"/>
              <w:end w:w="80" w:type="dxa"/>
            </w:tcMar>
          </w:tcPr>
          <w:p>
            <w:r>
              <w:rPr>
                <w:rFonts w:ascii="Roboto" w:hAnsi="Roboto"/>
                <w:sz w:val="21"/>
              </w:rPr>
            </w:r>
            <w:r>
              <w:rPr>
                <w:rFonts w:ascii="Roboto" w:hAnsi="Roboto"/>
                <w:sz w:val="21"/>
              </w:rPr>
              <w:t>Open the FastAPI documentation page</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20 seconds</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 xml:space="preserve">Run </w:t>
            </w:r>
            <w:r>
              <w:rPr>
                <w:rFonts w:ascii="Roboto" w:hAnsi="Roboto"/>
                <w:color w:val="0B7A68"/>
                <w:sz w:val="21"/>
              </w:rPr>
              <w:t>REF-002</w:t>
            </w:r>
            <w:r>
              <w:rPr>
                <w:rFonts w:ascii="Roboto" w:hAnsi="Roboto"/>
                <w:sz w:val="21"/>
              </w:rPr>
              <w:t xml:space="preserve"> and explain the network rule</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2 minutes</w:t>
            </w:r>
          </w:p>
        </w:tc>
      </w:tr>
      <w:tr>
        <w:tc>
          <w:tcPr>
            <w:tcW w:type="dxa" w:w="5112"/>
            <w:vAlign w:val="center"/>
            <w:tcMar>
              <w:top w:w="80" w:type="dxa"/>
              <w:start w:w="80" w:type="dxa"/>
              <w:bottom w:w="80" w:type="dxa"/>
              <w:end w:w="80" w:type="dxa"/>
            </w:tcMar>
          </w:tcPr>
          <w:p>
            <w:r>
              <w:rPr>
                <w:rFonts w:ascii="Roboto" w:hAnsi="Roboto"/>
                <w:sz w:val="21"/>
              </w:rPr>
            </w:r>
            <w:r>
              <w:rPr>
                <w:rFonts w:ascii="Roboto" w:hAnsi="Roboto"/>
                <w:sz w:val="21"/>
              </w:rPr>
              <w:t xml:space="preserve">Run </w:t>
            </w:r>
            <w:r>
              <w:rPr>
                <w:rFonts w:ascii="Roboto" w:hAnsi="Roboto"/>
                <w:color w:val="0B7A68"/>
                <w:sz w:val="21"/>
              </w:rPr>
              <w:t>REF-003</w:t>
            </w:r>
            <w:r>
              <w:rPr>
                <w:rFonts w:ascii="Roboto" w:hAnsi="Roboto"/>
                <w:sz w:val="21"/>
              </w:rPr>
              <w:t xml:space="preserve"> and explain human review</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1 minute</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 xml:space="preserve">Run </w:t>
            </w:r>
            <w:r>
              <w:rPr>
                <w:rFonts w:ascii="Roboto" w:hAnsi="Roboto"/>
                <w:color w:val="0B7A68"/>
                <w:sz w:val="21"/>
              </w:rPr>
              <w:t>CLM-001</w:t>
            </w:r>
            <w:r>
              <w:rPr>
                <w:rFonts w:ascii="Roboto" w:hAnsi="Roboto"/>
                <w:sz w:val="21"/>
              </w:rPr>
              <w:t xml:space="preserve"> and show the common claim JSON</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1 minute</w:t>
            </w:r>
          </w:p>
        </w:tc>
      </w:tr>
      <w:tr>
        <w:tc>
          <w:tcPr>
            <w:tcW w:type="dxa" w:w="5112"/>
            <w:vAlign w:val="center"/>
            <w:tcMar>
              <w:top w:w="80" w:type="dxa"/>
              <w:start w:w="80" w:type="dxa"/>
              <w:bottom w:w="80" w:type="dxa"/>
              <w:end w:w="80" w:type="dxa"/>
            </w:tcMar>
          </w:tcPr>
          <w:p>
            <w:r>
              <w:rPr>
                <w:rFonts w:ascii="Roboto" w:hAnsi="Roboto"/>
                <w:sz w:val="21"/>
              </w:rPr>
            </w:r>
            <w:r>
              <w:rPr>
                <w:rFonts w:ascii="Roboto" w:hAnsi="Roboto"/>
                <w:sz w:val="21"/>
              </w:rPr>
              <w:t xml:space="preserve">Run </w:t>
            </w:r>
            <w:r>
              <w:rPr>
                <w:rFonts w:ascii="Roboto" w:hAnsi="Roboto"/>
                <w:color w:val="0B7A68"/>
                <w:sz w:val="21"/>
              </w:rPr>
              <w:t>CLM-003</w:t>
            </w:r>
            <w:r>
              <w:rPr>
                <w:rFonts w:ascii="Roboto" w:hAnsi="Roboto"/>
                <w:sz w:val="21"/>
              </w:rPr>
              <w:t xml:space="preserve"> and explain the investigation</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2 minutes</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Close with the shared-runtime message</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40 seconds</w:t>
            </w:r>
          </w:p>
        </w:tc>
      </w:tr>
    </w:tbl>
    <w:p/>
    <w:p>
      <w:pPr>
        <w:pStyle w:val="Heading1"/>
      </w:pPr>
      <w:r>
        <w:t>12. Recovery Plan</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Problem</w:t>
            </w:r>
          </w:p>
        </w:tc>
        <w:tc>
          <w:tcPr>
            <w:tcW w:type="dxa" w:w="5112"/>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Response</w:t>
            </w:r>
          </w:p>
        </w:tc>
      </w:tr>
      <w:tr>
        <w:tc>
          <w:tcPr>
            <w:tcW w:type="dxa" w:w="5112"/>
            <w:vAlign w:val="center"/>
            <w:tcMar>
              <w:top w:w="80" w:type="dxa"/>
              <w:start w:w="80" w:type="dxa"/>
              <w:bottom w:w="80" w:type="dxa"/>
              <w:end w:w="80" w:type="dxa"/>
            </w:tcMar>
          </w:tcPr>
          <w:p>
            <w:r>
              <w:rPr>
                <w:rFonts w:ascii="Roboto" w:hAnsi="Roboto"/>
                <w:sz w:val="21"/>
              </w:rPr>
            </w:r>
            <w:r>
              <w:rPr>
                <w:rFonts w:ascii="Roboto" w:hAnsi="Roboto"/>
                <w:sz w:val="21"/>
              </w:rPr>
              <w:t>The service does not start.</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 xml:space="preserve">Use </w:t>
            </w:r>
            <w:r>
              <w:rPr>
                <w:rFonts w:ascii="Roboto" w:hAnsi="Roboto"/>
                <w:color w:val="0B7A68"/>
                <w:sz w:val="21"/>
              </w:rPr>
              <w:t>demo_outputs.json</w:t>
            </w:r>
            <w:r>
              <w:rPr>
                <w:rFonts w:ascii="Roboto" w:hAnsi="Roboto"/>
                <w:sz w:val="21"/>
              </w:rPr>
              <w:t xml:space="preserve"> and the evidence slides.</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A browser window is unavailable.</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Open the saved outputs in a text editor.</w:t>
            </w:r>
          </w:p>
        </w:tc>
      </w:tr>
      <w:tr>
        <w:tc>
          <w:tcPr>
            <w:tcW w:type="dxa" w:w="5112"/>
            <w:vAlign w:val="center"/>
            <w:tcMar>
              <w:top w:w="80" w:type="dxa"/>
              <w:start w:w="80" w:type="dxa"/>
              <w:bottom w:w="80" w:type="dxa"/>
              <w:end w:w="80" w:type="dxa"/>
            </w:tcMar>
          </w:tcPr>
          <w:p>
            <w:r>
              <w:rPr>
                <w:rFonts w:ascii="Roboto" w:hAnsi="Roboto"/>
                <w:sz w:val="21"/>
              </w:rPr>
            </w:r>
            <w:r>
              <w:rPr>
                <w:rFonts w:ascii="Roboto" w:hAnsi="Roboto"/>
                <w:sz w:val="21"/>
              </w:rPr>
              <w:t>Time is limited.</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 xml:space="preserve">Show only </w:t>
            </w:r>
            <w:r>
              <w:rPr>
                <w:rFonts w:ascii="Roboto" w:hAnsi="Roboto"/>
                <w:color w:val="0B7A68"/>
                <w:sz w:val="21"/>
              </w:rPr>
              <w:t>REF-002</w:t>
            </w:r>
            <w:r>
              <w:rPr>
                <w:rFonts w:ascii="Roboto" w:hAnsi="Roboto"/>
                <w:sz w:val="21"/>
              </w:rPr>
              <w:t xml:space="preserve"> and </w:t>
            </w:r>
            <w:r>
              <w:rPr>
                <w:rFonts w:ascii="Roboto" w:hAnsi="Roboto"/>
                <w:color w:val="0B7A68"/>
                <w:sz w:val="21"/>
              </w:rPr>
              <w:t>CLM-003</w:t>
            </w:r>
            <w:r>
              <w:rPr>
                <w:rFonts w:ascii="Roboto" w:hAnsi="Roboto"/>
                <w:sz w:val="21"/>
              </w:rPr>
              <w:t>.</w:t>
            </w:r>
          </w:p>
        </w:tc>
      </w:tr>
      <w:tr>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A live result differs from the expected result.</w:t>
            </w:r>
          </w:p>
        </w:tc>
        <w:tc>
          <w:tcPr>
            <w:tcW w:type="dxa" w:w="5112"/>
            <w:vAlign w:val="center"/>
            <w:tcMar>
              <w:top w:w="80" w:type="dxa"/>
              <w:start w:w="80" w:type="dxa"/>
              <w:bottom w:w="80" w:type="dxa"/>
              <w:end w:w="80" w:type="dxa"/>
            </w:tcMar>
            <w:shd w:fill="F2F4F7"/>
          </w:tcPr>
          <w:p>
            <w:r>
              <w:rPr>
                <w:rFonts w:ascii="Roboto" w:hAnsi="Roboto"/>
                <w:sz w:val="21"/>
              </w:rPr>
            </w:r>
            <w:r>
              <w:rPr>
                <w:rFonts w:ascii="Roboto" w:hAnsi="Roboto"/>
                <w:sz w:val="21"/>
              </w:rPr>
              <w:t>Return to the saved tested result and explain that fixed test cases are the release evidence.</w:t>
            </w:r>
          </w:p>
        </w:tc>
      </w:tr>
      <w:tr>
        <w:tc>
          <w:tcPr>
            <w:tcW w:type="dxa" w:w="5112"/>
            <w:vAlign w:val="center"/>
            <w:tcMar>
              <w:top w:w="80" w:type="dxa"/>
              <w:start w:w="80" w:type="dxa"/>
              <w:bottom w:w="80" w:type="dxa"/>
              <w:end w:w="80" w:type="dxa"/>
            </w:tcMar>
          </w:tcPr>
          <w:p>
            <w:r>
              <w:rPr>
                <w:rFonts w:ascii="Roboto" w:hAnsi="Roboto"/>
                <w:sz w:val="21"/>
              </w:rPr>
            </w:r>
            <w:r>
              <w:rPr>
                <w:rFonts w:ascii="Roboto" w:hAnsi="Roboto"/>
                <w:sz w:val="21"/>
              </w:rPr>
              <w:t>A question asks whether the POCs call an LLM.</w:t>
            </w:r>
          </w:p>
        </w:tc>
        <w:tc>
          <w:tcPr>
            <w:tcW w:type="dxa" w:w="5112"/>
            <w:vAlign w:val="center"/>
            <w:tcMar>
              <w:top w:w="80" w:type="dxa"/>
              <w:start w:w="80" w:type="dxa"/>
              <w:bottom w:w="80" w:type="dxa"/>
              <w:end w:w="80" w:type="dxa"/>
            </w:tcMar>
          </w:tcPr>
          <w:p>
            <w:r>
              <w:rPr>
                <w:rFonts w:ascii="Roboto" w:hAnsi="Roboto"/>
                <w:sz w:val="21"/>
              </w:rPr>
            </w:r>
            <w:r>
              <w:rPr>
                <w:rFonts w:ascii="Roboto" w:hAnsi="Roboto"/>
                <w:sz w:val="21"/>
              </w:rPr>
              <w:t>Say that the interview POCs locally implement and test workflow contracts, fixed controls, task structure, tool boundaries, and exception paths. State that no LLM or Bedrock call is part of the current tests. Explain that production can use an approved model gateway without changing the contracts.</w:t>
            </w:r>
          </w:p>
        </w:tc>
      </w:tr>
    </w:tbl>
    <w:p/>
    <w:p>
      <w:pPr>
        <w:pStyle w:val="Heading1"/>
      </w:pPr>
      <w:r>
        <w:t>13. What Is Implemented and What Comes in Production</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Area</w:t>
            </w:r>
          </w:p>
        </w:tc>
        <w:tc>
          <w:tcPr>
            <w:tcW w:type="dxa" w:w="3408"/>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Current POC</w:t>
            </w:r>
          </w:p>
        </w:tc>
        <w:tc>
          <w:tcPr>
            <w:tcW w:type="dxa" w:w="3408"/>
            <w:vAlign w:val="center"/>
            <w:tcMar>
              <w:top w:w="80" w:type="dxa"/>
              <w:start w:w="80" w:type="dxa"/>
              <w:bottom w:w="80" w:type="dxa"/>
              <w:end w:w="80" w:type="dxa"/>
            </w:tcMar>
            <w:shd w:fill="0B3A6E"/>
          </w:tcPr>
          <w:p>
            <w:r>
              <w:rPr>
                <w:rFonts w:ascii="Roboto" w:hAnsi="Roboto"/>
                <w:b/>
                <w:color w:val="FFFFFF"/>
                <w:sz w:val="21"/>
              </w:rPr>
            </w:r>
            <w:r>
              <w:rPr>
                <w:rFonts w:ascii="Roboto" w:hAnsi="Roboto"/>
                <w:b/>
                <w:color w:val="FFFFFF"/>
                <w:sz w:val="21"/>
              </w:rPr>
              <w:t>Production evolution</w:t>
            </w:r>
          </w:p>
        </w:tc>
      </w:tr>
      <w:tr>
        <w:tc>
          <w:tcPr>
            <w:tcW w:type="dxa" w:w="3408"/>
            <w:vAlign w:val="center"/>
            <w:tcMar>
              <w:top w:w="80" w:type="dxa"/>
              <w:start w:w="80" w:type="dxa"/>
              <w:bottom w:w="80" w:type="dxa"/>
              <w:end w:w="80" w:type="dxa"/>
            </w:tcMar>
          </w:tcPr>
          <w:p>
            <w:r>
              <w:rPr>
                <w:rFonts w:ascii="Roboto" w:hAnsi="Roboto"/>
                <w:sz w:val="21"/>
              </w:rPr>
            </w:r>
            <w:r>
              <w:rPr>
                <w:rFonts w:ascii="Roboto" w:hAnsi="Roboto"/>
                <w:b/>
                <w:sz w:val="21"/>
              </w:rPr>
              <w:t>Reasoning implementation</w:t>
            </w:r>
          </w:p>
        </w:tc>
        <w:tc>
          <w:tcPr>
            <w:tcW w:type="dxa" w:w="3408"/>
            <w:vAlign w:val="center"/>
            <w:tcMar>
              <w:top w:w="80" w:type="dxa"/>
              <w:start w:w="80" w:type="dxa"/>
              <w:bottom w:w="80" w:type="dxa"/>
              <w:end w:w="80" w:type="dxa"/>
            </w:tcMar>
          </w:tcPr>
          <w:p>
            <w:r>
              <w:rPr>
                <w:rFonts w:ascii="Roboto" w:hAnsi="Roboto"/>
                <w:sz w:val="21"/>
              </w:rPr>
            </w:r>
            <w:r>
              <w:rPr>
                <w:rFonts w:ascii="Roboto" w:hAnsi="Roboto"/>
                <w:sz w:val="21"/>
              </w:rPr>
              <w:t>Local deterministic implementation. No LLM or Bedrock call.</w:t>
            </w:r>
          </w:p>
        </w:tc>
        <w:tc>
          <w:tcPr>
            <w:tcW w:type="dxa" w:w="3408"/>
            <w:vAlign w:val="center"/>
            <w:tcMar>
              <w:top w:w="80" w:type="dxa"/>
              <w:start w:w="80" w:type="dxa"/>
              <w:bottom w:w="80" w:type="dxa"/>
              <w:end w:w="80" w:type="dxa"/>
            </w:tcMar>
          </w:tcPr>
          <w:p>
            <w:r>
              <w:rPr>
                <w:rFonts w:ascii="Roboto" w:hAnsi="Roboto"/>
                <w:sz w:val="21"/>
              </w:rPr>
            </w:r>
            <w:r>
              <w:rPr>
                <w:rFonts w:ascii="Roboto" w:hAnsi="Roboto"/>
                <w:sz w:val="21"/>
              </w:rPr>
              <w:t>Approved model gateway with structured outputs, guardrails, evaluation, and monitoring.</w:t>
            </w:r>
          </w:p>
        </w:tc>
      </w:tr>
      <w:tr>
        <w:tc>
          <w:tcPr>
            <w:tcW w:type="dxa" w:w="3408"/>
            <w:vAlign w:val="center"/>
            <w:tcMar>
              <w:top w:w="80" w:type="dxa"/>
              <w:start w:w="80" w:type="dxa"/>
              <w:bottom w:w="80" w:type="dxa"/>
              <w:end w:w="80" w:type="dxa"/>
            </w:tcMar>
            <w:shd w:fill="F2F4F7"/>
          </w:tcPr>
          <w:p>
            <w:r>
              <w:rPr>
                <w:rFonts w:ascii="Roboto" w:hAnsi="Roboto"/>
                <w:sz w:val="21"/>
              </w:rPr>
            </w:r>
            <w:r>
              <w:rPr>
                <w:rFonts w:ascii="Roboto" w:hAnsi="Roboto"/>
                <w:b/>
                <w:sz w:val="21"/>
              </w:rPr>
              <w:t>Data and tools</w:t>
            </w:r>
          </w:p>
        </w:tc>
        <w:tc>
          <w:tcPr>
            <w:tcW w:type="dxa" w:w="3408"/>
            <w:vAlign w:val="center"/>
            <w:tcMar>
              <w:top w:w="80" w:type="dxa"/>
              <w:start w:w="80" w:type="dxa"/>
              <w:bottom w:w="80" w:type="dxa"/>
              <w:end w:w="80" w:type="dxa"/>
            </w:tcMar>
            <w:shd w:fill="F2F4F7"/>
          </w:tcPr>
          <w:p>
            <w:r>
              <w:rPr>
                <w:rFonts w:ascii="Roboto" w:hAnsi="Roboto"/>
                <w:sz w:val="21"/>
              </w:rPr>
            </w:r>
            <w:r>
              <w:rPr>
                <w:rFonts w:ascii="Roboto" w:hAnsi="Roboto"/>
                <w:sz w:val="21"/>
              </w:rPr>
              <w:t>Synthetic data and local services.</w:t>
            </w:r>
          </w:p>
        </w:tc>
        <w:tc>
          <w:tcPr>
            <w:tcW w:type="dxa" w:w="3408"/>
            <w:vAlign w:val="center"/>
            <w:tcMar>
              <w:top w:w="80" w:type="dxa"/>
              <w:start w:w="80" w:type="dxa"/>
              <w:bottom w:w="80" w:type="dxa"/>
              <w:end w:w="80" w:type="dxa"/>
            </w:tcMar>
            <w:shd w:fill="F2F4F7"/>
          </w:tcPr>
          <w:p>
            <w:r>
              <w:rPr>
                <w:rFonts w:ascii="Roboto" w:hAnsi="Roboto"/>
                <w:sz w:val="21"/>
              </w:rPr>
            </w:r>
            <w:r>
              <w:rPr>
                <w:rFonts w:ascii="Roboto" w:hAnsi="Roboto"/>
                <w:sz w:val="21"/>
              </w:rPr>
              <w:t>Real payer, provider, FHIR, EDI, and work-queue connectors.</w:t>
            </w:r>
          </w:p>
        </w:tc>
      </w:tr>
      <w:tr>
        <w:tc>
          <w:tcPr>
            <w:tcW w:type="dxa" w:w="3408"/>
            <w:vAlign w:val="center"/>
            <w:tcMar>
              <w:top w:w="80" w:type="dxa"/>
              <w:start w:w="80" w:type="dxa"/>
              <w:bottom w:w="80" w:type="dxa"/>
              <w:end w:w="80" w:type="dxa"/>
            </w:tcMar>
          </w:tcPr>
          <w:p>
            <w:r>
              <w:rPr>
                <w:rFonts w:ascii="Roboto" w:hAnsi="Roboto"/>
                <w:sz w:val="21"/>
              </w:rPr>
            </w:r>
            <w:r>
              <w:rPr>
                <w:rFonts w:ascii="Roboto" w:hAnsi="Roboto"/>
                <w:b/>
                <w:sz w:val="21"/>
              </w:rPr>
              <w:t>Workflow controls</w:t>
            </w:r>
          </w:p>
        </w:tc>
        <w:tc>
          <w:tcPr>
            <w:tcW w:type="dxa" w:w="3408"/>
            <w:vAlign w:val="center"/>
            <w:tcMar>
              <w:top w:w="80" w:type="dxa"/>
              <w:start w:w="80" w:type="dxa"/>
              <w:bottom w:w="80" w:type="dxa"/>
              <w:end w:w="80" w:type="dxa"/>
            </w:tcMar>
          </w:tcPr>
          <w:p>
            <w:r>
              <w:rPr>
                <w:rFonts w:ascii="Roboto" w:hAnsi="Roboto"/>
                <w:sz w:val="21"/>
              </w:rPr>
            </w:r>
            <w:r>
              <w:rPr>
                <w:rFonts w:ascii="Roboto" w:hAnsi="Roboto"/>
                <w:sz w:val="21"/>
              </w:rPr>
              <w:t>Fixed rules, typed outputs, audit events, and review signals.</w:t>
            </w:r>
          </w:p>
        </w:tc>
        <w:tc>
          <w:tcPr>
            <w:tcW w:type="dxa" w:w="3408"/>
            <w:vAlign w:val="center"/>
            <w:tcMar>
              <w:top w:w="80" w:type="dxa"/>
              <w:start w:w="80" w:type="dxa"/>
              <w:bottom w:w="80" w:type="dxa"/>
              <w:end w:w="80" w:type="dxa"/>
            </w:tcMar>
          </w:tcPr>
          <w:p>
            <w:r>
              <w:rPr>
                <w:rFonts w:ascii="Roboto" w:hAnsi="Roboto"/>
                <w:sz w:val="21"/>
              </w:rPr>
            </w:r>
            <w:r>
              <w:rPr>
                <w:rFonts w:ascii="Roboto" w:hAnsi="Roboto"/>
                <w:sz w:val="21"/>
              </w:rPr>
              <w:t>Persistent state, enterprise identity, security controls, retries, monitoring, and support.</w:t>
            </w:r>
          </w:p>
        </w:tc>
      </w:tr>
    </w:tbl>
    <w:p/>
    <w:p>
      <w:pPr>
        <w:pStyle w:val="Heading1"/>
      </w:pPr>
      <w:r>
        <w:t>14. Final Demo Message</w:t>
      </w:r>
    </w:p>
    <w:p>
      <w:r>
        <w:t>“The POCs use a small local runtime, but the architecture pattern is ready for enterprise growth. The tasks, tools, knowledge, rules, audit, and tests are separate assets. The client can connect real payer systems and an approved model gateway without changing the core business workflow.”</w:t>
      </w:r>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Roboto" w:hAnsi="Roboto"/>
        <w:color w:val="6B7280"/>
        <w:sz w:val="18"/>
      </w:rPr>
      <w:t>Autonomize Interview Package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Roboto" w:hAnsi="Roboto"/>
        <w:color w:val="6B7280"/>
        <w:sz w:val="18"/>
      </w:rPr>
      <w:t>Autonomize POC Demo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Roboto" w:hAnsi="Roboto"/>
      <w:color w:val="26344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ascii="Roboto" w:hAnsi="Roboto"/>
      <w:b/>
      <w:bCs/>
      <w:color w:val="0B3A6E"/>
      <w:sz w:val="34"/>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Roboto" w:hAnsi="Roboto"/>
      <w:b/>
      <w:bCs/>
      <w:color w:val="0B3A6E"/>
      <w:sz w:val="28"/>
      <w:szCs w:val="26"/>
    </w:rPr>
  </w:style>
  <w:style w:type="paragraph" w:styleId="Heading3">
    <w:name w:val="heading 3"/>
    <w:basedOn w:val="Normal"/>
    <w:next w:val="Normal"/>
    <w:link w:val="Heading3Char"/>
    <w:uiPriority w:val="9"/>
    <w:unhideWhenUsed/>
    <w:qFormat/>
    <w:rsid w:val="00FC693F"/>
    <w:pPr>
      <w:keepNext/>
      <w:keepLines/>
      <w:spacing w:before="180" w:after="100"/>
      <w:outlineLvl w:val="2"/>
    </w:pPr>
    <w:rPr>
      <w:rFonts w:asciiTheme="majorHAnsi" w:eastAsiaTheme="majorEastAsia" w:hAnsiTheme="majorHAnsi" w:cstheme="majorBidi" w:ascii="Roboto" w:hAnsi="Roboto"/>
      <w:b/>
      <w:bCs/>
      <w:color w:val="0B7A6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80"/>
      <w:contextualSpacing/>
    </w:pPr>
    <w:rPr>
      <w:rFonts w:asciiTheme="majorHAnsi" w:eastAsiaTheme="majorEastAsia" w:hAnsiTheme="majorHAnsi" w:cstheme="majorBidi" w:ascii="Roboto" w:hAnsi="Roboto"/>
      <w:b/>
      <w:color w:val="0B3A6E"/>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 Chillara</dc:creator>
  <cp:keywords/>
  <dc:description>generated by python-docx</dc:description>
  <cp:lastModifiedBy/>
  <cp:revision>1</cp:revision>
  <dcterms:created xsi:type="dcterms:W3CDTF">2013-12-23T23:15:00Z</dcterms:created>
  <dcterms:modified xsi:type="dcterms:W3CDTF">2013-12-23T23:15:00Z</dcterms:modified>
  <cp:category/>
</cp:coreProperties>
</file>